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3EE0" w:rsidRDefault="00013EE0" w:rsidP="00013EE0">
      <w:pPr>
        <w:pStyle w:val="Header"/>
        <w:spacing w:line="480" w:lineRule="auto"/>
        <w:jc w:val="center"/>
      </w:pPr>
    </w:p>
    <w:p w:rsidR="00013EE0" w:rsidRDefault="00013EE0" w:rsidP="00013EE0">
      <w:pPr>
        <w:pStyle w:val="Header"/>
        <w:spacing w:line="480" w:lineRule="auto"/>
        <w:jc w:val="center"/>
      </w:pPr>
    </w:p>
    <w:p w:rsidR="00013EE0" w:rsidRDefault="00013EE0" w:rsidP="00013EE0">
      <w:pPr>
        <w:pStyle w:val="Header"/>
        <w:spacing w:line="480" w:lineRule="auto"/>
        <w:jc w:val="center"/>
      </w:pPr>
    </w:p>
    <w:p w:rsidR="00013EE0" w:rsidRDefault="00013EE0" w:rsidP="00013EE0">
      <w:pPr>
        <w:pStyle w:val="Header"/>
        <w:spacing w:line="480" w:lineRule="auto"/>
        <w:jc w:val="center"/>
      </w:pPr>
    </w:p>
    <w:p w:rsidR="00013EE0" w:rsidRDefault="00013EE0" w:rsidP="00013EE0">
      <w:pPr>
        <w:pStyle w:val="Header"/>
        <w:spacing w:line="480" w:lineRule="auto"/>
        <w:jc w:val="center"/>
      </w:pPr>
    </w:p>
    <w:p w:rsidR="00D75AE4" w:rsidRDefault="00013EE0" w:rsidP="00013EE0">
      <w:pPr>
        <w:pStyle w:val="Header"/>
        <w:spacing w:line="480" w:lineRule="auto"/>
        <w:ind w:firstLine="0"/>
        <w:jc w:val="center"/>
      </w:pPr>
      <w:r>
        <w:t>The Co-Existent Duopoly: Analysis of the Carbonated Soft Drinks Industry</w:t>
      </w:r>
    </w:p>
    <w:p w:rsidR="00D75AE4" w:rsidRDefault="00D75AE4" w:rsidP="00013EE0">
      <w:pPr>
        <w:pStyle w:val="Header"/>
        <w:spacing w:line="480" w:lineRule="auto"/>
        <w:ind w:firstLine="0"/>
        <w:jc w:val="center"/>
      </w:pPr>
      <w:r>
        <w:t>Name</w:t>
      </w:r>
    </w:p>
    <w:p w:rsidR="00D75AE4" w:rsidRDefault="00D75AE4" w:rsidP="00013EE0">
      <w:pPr>
        <w:pStyle w:val="Header"/>
        <w:spacing w:line="480" w:lineRule="auto"/>
        <w:ind w:firstLine="0"/>
        <w:jc w:val="center"/>
      </w:pPr>
      <w:r>
        <w:t>Institution</w:t>
      </w:r>
    </w:p>
    <w:p w:rsidR="00D75AE4" w:rsidRDefault="00D75AE4" w:rsidP="00013EE0">
      <w:pPr>
        <w:pStyle w:val="Header"/>
        <w:spacing w:line="480" w:lineRule="auto"/>
        <w:ind w:firstLine="0"/>
        <w:jc w:val="center"/>
      </w:pPr>
      <w:r>
        <w:t>Course Information</w:t>
      </w:r>
    </w:p>
    <w:p w:rsidR="00013EE0" w:rsidRDefault="00013EE0" w:rsidP="00013EE0">
      <w:pPr>
        <w:pStyle w:val="Header"/>
        <w:spacing w:line="480" w:lineRule="auto"/>
      </w:pPr>
    </w:p>
    <w:p w:rsidR="00013EE0" w:rsidRDefault="00013EE0" w:rsidP="00013EE0">
      <w:pPr>
        <w:pStyle w:val="Header"/>
        <w:spacing w:line="480" w:lineRule="auto"/>
      </w:pPr>
    </w:p>
    <w:p w:rsidR="00013EE0" w:rsidRDefault="00013EE0" w:rsidP="00013EE0">
      <w:pPr>
        <w:pStyle w:val="Header"/>
        <w:spacing w:line="480" w:lineRule="auto"/>
      </w:pPr>
    </w:p>
    <w:p w:rsidR="00013EE0" w:rsidRDefault="00013EE0" w:rsidP="00013EE0">
      <w:pPr>
        <w:pStyle w:val="Header"/>
        <w:spacing w:line="480" w:lineRule="auto"/>
      </w:pPr>
    </w:p>
    <w:p w:rsidR="00013EE0" w:rsidRDefault="00013EE0" w:rsidP="00013EE0">
      <w:pPr>
        <w:pStyle w:val="Header"/>
        <w:spacing w:line="480" w:lineRule="auto"/>
      </w:pPr>
    </w:p>
    <w:p w:rsidR="00013EE0" w:rsidRDefault="00013EE0" w:rsidP="00013EE0">
      <w:pPr>
        <w:pStyle w:val="Header"/>
        <w:spacing w:line="480" w:lineRule="auto"/>
      </w:pPr>
    </w:p>
    <w:p w:rsidR="00013EE0" w:rsidRDefault="00013EE0" w:rsidP="00013EE0">
      <w:pPr>
        <w:pStyle w:val="Header"/>
        <w:spacing w:line="480" w:lineRule="auto"/>
      </w:pPr>
    </w:p>
    <w:p w:rsidR="00013EE0" w:rsidRDefault="00013EE0" w:rsidP="00013EE0">
      <w:pPr>
        <w:pStyle w:val="Header"/>
        <w:spacing w:line="480" w:lineRule="auto"/>
      </w:pPr>
    </w:p>
    <w:p w:rsidR="00013EE0" w:rsidRDefault="00013EE0" w:rsidP="00013EE0">
      <w:pPr>
        <w:pStyle w:val="Header"/>
        <w:spacing w:line="480" w:lineRule="auto"/>
      </w:pPr>
    </w:p>
    <w:p w:rsidR="00013EE0" w:rsidRDefault="00013EE0" w:rsidP="00013EE0">
      <w:pPr>
        <w:pStyle w:val="Header"/>
        <w:spacing w:line="480" w:lineRule="auto"/>
      </w:pPr>
    </w:p>
    <w:p w:rsidR="00013EE0" w:rsidRDefault="00013EE0" w:rsidP="00013EE0">
      <w:pPr>
        <w:pStyle w:val="Header"/>
        <w:spacing w:line="480" w:lineRule="auto"/>
      </w:pPr>
    </w:p>
    <w:p w:rsidR="00013EE0" w:rsidRDefault="00013EE0" w:rsidP="00013EE0">
      <w:pPr>
        <w:pStyle w:val="Header"/>
        <w:spacing w:line="480" w:lineRule="auto"/>
      </w:pPr>
    </w:p>
    <w:p w:rsidR="00013EE0" w:rsidRDefault="00013EE0" w:rsidP="00013EE0">
      <w:pPr>
        <w:pStyle w:val="Header"/>
        <w:spacing w:line="480" w:lineRule="auto"/>
      </w:pPr>
    </w:p>
    <w:p w:rsidR="00013EE0" w:rsidRDefault="00013EE0" w:rsidP="00013EE0">
      <w:pPr>
        <w:pStyle w:val="Header"/>
        <w:spacing w:line="480" w:lineRule="auto"/>
        <w:jc w:val="center"/>
      </w:pPr>
    </w:p>
    <w:p w:rsidR="00013EE0" w:rsidRDefault="00013EE0" w:rsidP="00013EE0">
      <w:pPr>
        <w:pStyle w:val="Header"/>
        <w:spacing w:line="480" w:lineRule="auto"/>
        <w:ind w:firstLine="0"/>
        <w:jc w:val="center"/>
      </w:pPr>
      <w:r>
        <w:lastRenderedPageBreak/>
        <w:t>The Co-Existent Duopoly: Analysis of the Carbonated Soft Drinks Industry</w:t>
      </w:r>
    </w:p>
    <w:p w:rsidR="007F3814" w:rsidRPr="00D75AE4" w:rsidRDefault="00266B5E" w:rsidP="00663896">
      <w:pPr>
        <w:pStyle w:val="Header"/>
        <w:spacing w:line="480" w:lineRule="auto"/>
      </w:pPr>
      <w:r w:rsidRPr="00D75AE4">
        <w:t xml:space="preserve">The soft drink is an industry dominated by three organizations, with </w:t>
      </w:r>
      <w:r w:rsidR="00013EE0">
        <w:t>two of those organizations havi</w:t>
      </w:r>
      <w:r w:rsidRPr="00D75AE4">
        <w:t>ng an overwhelming share of the global market. The three companies are Dr. Pepper Snapple, Coca Cola and Pepsi are the three companies with majority market share. However, Coca Cola and Pepsi have dominated the industry since the early 20</w:t>
      </w:r>
      <w:r w:rsidRPr="00D75AE4">
        <w:rPr>
          <w:vertAlign w:val="superscript"/>
        </w:rPr>
        <w:t>th</w:t>
      </w:r>
      <w:r w:rsidRPr="00D75AE4">
        <w:t xml:space="preserve"> century. It is necessary to analyze the soft drinks industry to determine the effect of competitive forces. There is significant threat of substitute product since there are a wide variety of soft drinks to choose from. Coca Cola and Pepsi do not have entirely unique flavors and customers are able to substitute their products without significant pressure. The threat of new competitors is relatively low as the two companies have established loyal customer bases with the customers unlikely to switch over to any new brands entering the market. Customers seem to prefer brand in this industry, hence the dominance of these two companies for such a lengthy period. Buyer power is low as customers are highly loyal to these two brands, empowering the companies to determine prices as suitable to their business needs. Supplier power is low as the industry is dominated by these two companies, making the suppliers at a weaker bargaining position since Coca Cola and Pepsi can change suppliers if their terms are not met. Rivalry among existing firms is high</w:t>
      </w:r>
      <w:r w:rsidR="00EA48DB" w:rsidRPr="00D75AE4">
        <w:t xml:space="preserve"> as Pepsi and Coca Cola are the dominant forces in this industry and are constantly seeking to outperform one another. Other companies such as Dr. Pepper have introduced unique flavors but no other companies have reached the massive success enjoyed by the two largest companies.</w:t>
      </w:r>
    </w:p>
    <w:p w:rsidR="00AB11D8" w:rsidRPr="00D75AE4" w:rsidRDefault="00AB11D8" w:rsidP="00013EE0">
      <w:pPr>
        <w:pStyle w:val="Header"/>
        <w:spacing w:line="480" w:lineRule="auto"/>
      </w:pPr>
      <w:r w:rsidRPr="00D75AE4">
        <w:t xml:space="preserve">The threat of new entries is relatively low in the soft drink industry due to the dominance of Coca Cola and Pepsi. Several factors combine to drive this threat to its current low levels. </w:t>
      </w:r>
      <w:r w:rsidR="002555E8" w:rsidRPr="00D75AE4">
        <w:t xml:space="preserve">The role played by the bottlers is one factor hindering new entries. Pepsi and Coca Cola have long-term franchise agreements with specific bottling companies, </w:t>
      </w:r>
      <w:r w:rsidR="00A335A5" w:rsidRPr="00D75AE4">
        <w:t xml:space="preserve">meaning that bottlers are not legally </w:t>
      </w:r>
      <w:r w:rsidR="00A335A5" w:rsidRPr="00D75AE4">
        <w:lastRenderedPageBreak/>
        <w:t>allowed to work with new entries into the market</w:t>
      </w:r>
      <w:r w:rsidR="00D75AE4">
        <w:t xml:space="preserve"> (Koschmann &amp; Sheth, 2016)</w:t>
      </w:r>
      <w:r w:rsidR="00A335A5" w:rsidRPr="00D75AE4">
        <w:t xml:space="preserve">. In addition, these two soft drink giants have purchased significant portions of major bottling companies and in some cases have bought entire bottling companies. It becomes difficult for new entries to find bottlers willing and capable to distribute their products. The role played by retail channels is another reason why new entries find it difficult to </w:t>
      </w:r>
      <w:r w:rsidR="00055AA3" w:rsidRPr="00D75AE4">
        <w:t>establish their products and sustain their position. Distribution channels such as supermarkets and warehouse clubs enter into agreements with Coca Cola and Pepsi where the product of one company or the other is guaranteed shelf space and visibility</w:t>
      </w:r>
      <w:r w:rsidR="00D75AE4">
        <w:t xml:space="preserve"> (Mariuzzo, Walsh &amp; Whelan, 2003)</w:t>
      </w:r>
      <w:r w:rsidR="00055AA3" w:rsidRPr="00D75AE4">
        <w:t>. This is a major hindrance for new entries as visibility of products is largely restricted to Coca Cola and Pepsi. Brand loyalty is another factor hindering new entries. Pepsi and Coca Cola have a massive customer base where people actively avoid purchasing any other brand than the one they are accustomed to</w:t>
      </w:r>
      <w:r w:rsidR="00D75AE4">
        <w:t xml:space="preserve"> (Koschmann &amp; Sheth, 2016)</w:t>
      </w:r>
      <w:r w:rsidR="00055AA3" w:rsidRPr="00D75AE4">
        <w:t xml:space="preserve">. This is supported by heavy advertising on a frequent basis by the two major companies. It makes it highly difficult for new entrants to compete with the two industry leaders. </w:t>
      </w:r>
    </w:p>
    <w:p w:rsidR="003C5B41" w:rsidRPr="00D75AE4" w:rsidRDefault="003C5B41" w:rsidP="00013EE0">
      <w:pPr>
        <w:pStyle w:val="Header"/>
        <w:spacing w:line="480" w:lineRule="auto"/>
      </w:pPr>
      <w:r w:rsidRPr="00D75AE4">
        <w:t>The concentrate business is more profitable than the bottling business in the carbonated soft drinks industry. The concentrate business records high returns, high margins and high cash generation while the bottling business experiences low returns, low margins, high debt creation and intensification of capital</w:t>
      </w:r>
      <w:r w:rsidR="00D75AE4">
        <w:t xml:space="preserve"> (Koschmann &amp; Sheth, 2016)</w:t>
      </w:r>
      <w:r w:rsidRPr="00D75AE4">
        <w:t xml:space="preserve">. </w:t>
      </w:r>
      <w:r w:rsidR="0065527C" w:rsidRPr="00D75AE4">
        <w:t>It requires an average of $30-50 million to build a concentrate manufacturing plant but this plant is capable of serving a whole country, including costs related to market research, product planning, recruitment and advertising</w:t>
      </w:r>
      <w:r w:rsidR="00D75AE4">
        <w:t xml:space="preserve"> (</w:t>
      </w:r>
      <w:r w:rsidR="00D75AE4">
        <w:rPr>
          <w:color w:val="222222"/>
          <w:shd w:val="clear" w:color="auto" w:fill="FFFFFF"/>
        </w:rPr>
        <w:t>Brick, Fitzsimons, Chartrand</w:t>
      </w:r>
      <w:r w:rsidR="00D75AE4" w:rsidRPr="00D75AE4">
        <w:rPr>
          <w:color w:val="222222"/>
          <w:shd w:val="clear" w:color="auto" w:fill="FFFFFF"/>
        </w:rPr>
        <w:t xml:space="preserve"> &amp; Fitzsimons</w:t>
      </w:r>
      <w:r w:rsidR="00D75AE4">
        <w:rPr>
          <w:color w:val="222222"/>
          <w:shd w:val="clear" w:color="auto" w:fill="FFFFFF"/>
        </w:rPr>
        <w:t>, 2017)</w:t>
      </w:r>
      <w:r w:rsidR="0065527C" w:rsidRPr="00D75AE4">
        <w:t xml:space="preserve">. </w:t>
      </w:r>
      <w:r w:rsidR="00B33B0A" w:rsidRPr="00D75AE4">
        <w:t xml:space="preserve">The cost of building a bottling plant is an average of $30 million but this plant is limited to specific products and may not serve a large region. </w:t>
      </w:r>
      <w:r w:rsidRPr="00D75AE4">
        <w:t xml:space="preserve">For a typical concentrate producer, the gross profit is an average of 83 percent compared </w:t>
      </w:r>
      <w:r w:rsidRPr="00D75AE4">
        <w:lastRenderedPageBreak/>
        <w:t>to only a 35 percent gross profit for a typical bottling company</w:t>
      </w:r>
      <w:r w:rsidR="00D75AE4">
        <w:t xml:space="preserve"> (Brick, Fitzsimons, Chartrand &amp; Fitzsimons, 2017)</w:t>
      </w:r>
      <w:r w:rsidRPr="00D75AE4">
        <w:t xml:space="preserve">. Pre-tax profit figures for a concentrate producer are an average of 35 percent while for a bottler the pre-tax profit is an average of 9 percent. </w:t>
      </w:r>
      <w:r w:rsidR="0065527C" w:rsidRPr="00D75AE4">
        <w:t>The cost of goods for a concentrate producer is lower than that of a bottler, whose average cost of goods sold is 65 percent of net sales. For a bottling company, concentrate takes up 33 percent and packaging takes up 50 percent of cost of goods sold</w:t>
      </w:r>
      <w:r w:rsidR="00D75AE4">
        <w:t xml:space="preserve"> (Nestle, 2015)</w:t>
      </w:r>
      <w:r w:rsidR="0065527C" w:rsidRPr="00D75AE4">
        <w:t xml:space="preserve">. </w:t>
      </w:r>
      <w:r w:rsidR="00C9437F" w:rsidRPr="00D75AE4">
        <w:t>The most significant cost for a concentrate producer is in advertising and marketing, with the costs being an average of 39 percent</w:t>
      </w:r>
      <w:r w:rsidR="00D75AE4">
        <w:t xml:space="preserve"> (Brick, Fitzsimons, Chartrand &amp; Fitzsimons, 2017)</w:t>
      </w:r>
      <w:r w:rsidR="00C9437F" w:rsidRPr="00D75AE4">
        <w:t xml:space="preserve">. Overall, the profit margin for concentrate producers is approximately four times higher than profit margins for bottlers. </w:t>
      </w:r>
    </w:p>
    <w:p w:rsidR="00C9437F" w:rsidRPr="00D75AE4" w:rsidRDefault="00C9437F" w:rsidP="00013EE0">
      <w:pPr>
        <w:pStyle w:val="Header"/>
        <w:spacing w:line="480" w:lineRule="auto"/>
      </w:pPr>
      <w:r w:rsidRPr="00D75AE4">
        <w:t>The concentrate business is more profitable than bottling because of the high fixed costs attached to operations for bottling companies. In the carbonated soft drinks industry, the concentrate business is dominated by the Pepsi and Coca Cola duopoly and this allows them power over suppliers and buyers. The ability of concentrate producers to influence retail prices drives profitability. On the other hand, bottlers have low bargaining power with suppliers and buyers. A strategy that has increasingly been used to improve profitability for bottlers is the reduction of bottling manufacturers in order to expand market share for the remaining companies, with the purpose of improving bargaining power</w:t>
      </w:r>
      <w:r w:rsidR="00D75AE4">
        <w:t xml:space="preserve"> (Koschmann &amp; Sheth, 2016)</w:t>
      </w:r>
      <w:r w:rsidRPr="00D75AE4">
        <w:t xml:space="preserve">. </w:t>
      </w:r>
      <w:r w:rsidR="00C3076D" w:rsidRPr="00D75AE4">
        <w:t>Bottlers record lower profitability than concentrate producers because bottlers are fundamentally providing a commodity service</w:t>
      </w:r>
      <w:r w:rsidR="00D75AE4">
        <w:t xml:space="preserve"> (</w:t>
      </w:r>
      <w:r w:rsidR="00D75AE4" w:rsidRPr="00D75AE4">
        <w:rPr>
          <w:color w:val="222222"/>
          <w:shd w:val="clear" w:color="auto" w:fill="FFFFFF"/>
        </w:rPr>
        <w:t>Dubé</w:t>
      </w:r>
      <w:r w:rsidR="00D75AE4">
        <w:rPr>
          <w:color w:val="222222"/>
          <w:shd w:val="clear" w:color="auto" w:fill="FFFFFF"/>
        </w:rPr>
        <w:t>, 2005)</w:t>
      </w:r>
      <w:r w:rsidR="00C3076D" w:rsidRPr="00D75AE4">
        <w:t>. Pepsi and Coca Cola are in the bottling business because it enables them to eliminate manufacturing redundancies. The two companies gain a stronger position over the distribution channels and this allows the two companies to develop better supply-chain and distribution systems. The overall purpose of Coca Cola and Pepsi seeking control of bottling plants is to reduce operating expenses.</w:t>
      </w:r>
    </w:p>
    <w:p w:rsidR="00C767CA" w:rsidRPr="00D75AE4" w:rsidRDefault="009668A8" w:rsidP="00013EE0">
      <w:pPr>
        <w:pStyle w:val="Header"/>
        <w:spacing w:line="480" w:lineRule="auto"/>
      </w:pPr>
      <w:r w:rsidRPr="00D75AE4">
        <w:lastRenderedPageBreak/>
        <w:t xml:space="preserve">For a new-age soft drinks manufacturer, it is important to understand the core strengths of Coca Cola and Pepsi in order to develop strategies to compete with the two companies. The major strengths are brand loyalty, expansive bottling networks and power of distribution channels. New-age soft drink manufacturers should focus more on creating sub-segments in the soft drinks industry that will appeal to all customers including those inherently loyal to either Pepsi or Coca Cola. This can be achieved by introducing </w:t>
      </w:r>
      <w:r w:rsidR="000A2378" w:rsidRPr="00D75AE4">
        <w:t xml:space="preserve">juice drinks, health shakes or energy drinks instead of attempting to create another cola drink to rival those already under Pepsi and Coca Cola. An example is how Red Bull entered the soft drinks market and carved its own niche and customer base. Another strategy is to focus on generic colas because there is a healthy market for generic colas and their profit margins are relatively high. It would be easier to develop a bottling and distribution network if a manufacturer focuses on producing generic colas. Third, a new-age soft drink manufacturer should identify a consumer group that is underserved by the current duopoly and introduce drinks that cater specifically to this underserved group. Similar to how Red Bull identified and focused on extreme athletes and sports fans, a new-age soft drink manufacturer will </w:t>
      </w:r>
      <w:r w:rsidR="00EE53B7" w:rsidRPr="00D75AE4">
        <w:t>compete better with Coca Cola and Pepsi if they have a loyal core customer base.</w:t>
      </w:r>
      <w:r w:rsidR="000A2378" w:rsidRPr="00D75AE4">
        <w:t xml:space="preserve"> </w:t>
      </w:r>
    </w:p>
    <w:p w:rsidR="00013EE0" w:rsidRDefault="00013EE0" w:rsidP="00013EE0">
      <w:pPr>
        <w:pStyle w:val="Header"/>
        <w:spacing w:line="480" w:lineRule="auto"/>
        <w:jc w:val="center"/>
      </w:pPr>
    </w:p>
    <w:p w:rsidR="00013EE0" w:rsidRDefault="00013EE0" w:rsidP="00013EE0">
      <w:pPr>
        <w:pStyle w:val="Header"/>
        <w:spacing w:line="480" w:lineRule="auto"/>
        <w:jc w:val="center"/>
      </w:pPr>
    </w:p>
    <w:p w:rsidR="00013EE0" w:rsidRDefault="00013EE0" w:rsidP="00013EE0">
      <w:pPr>
        <w:pStyle w:val="Header"/>
        <w:spacing w:line="480" w:lineRule="auto"/>
        <w:jc w:val="center"/>
      </w:pPr>
    </w:p>
    <w:p w:rsidR="00013EE0" w:rsidRDefault="00013EE0" w:rsidP="00013EE0">
      <w:pPr>
        <w:pStyle w:val="Header"/>
        <w:spacing w:line="480" w:lineRule="auto"/>
        <w:jc w:val="center"/>
      </w:pPr>
    </w:p>
    <w:p w:rsidR="00013EE0" w:rsidRDefault="00013EE0" w:rsidP="00013EE0">
      <w:pPr>
        <w:pStyle w:val="Header"/>
        <w:spacing w:line="480" w:lineRule="auto"/>
        <w:jc w:val="center"/>
      </w:pPr>
    </w:p>
    <w:p w:rsidR="00663896" w:rsidRDefault="00663896" w:rsidP="00013EE0">
      <w:pPr>
        <w:pStyle w:val="Header"/>
        <w:spacing w:line="480" w:lineRule="auto"/>
        <w:jc w:val="center"/>
      </w:pPr>
    </w:p>
    <w:p w:rsidR="00663896" w:rsidRDefault="00663896" w:rsidP="00013EE0">
      <w:pPr>
        <w:pStyle w:val="Header"/>
        <w:spacing w:line="480" w:lineRule="auto"/>
        <w:jc w:val="center"/>
      </w:pPr>
    </w:p>
    <w:p w:rsidR="00013EE0" w:rsidRDefault="00C767CA" w:rsidP="00013EE0">
      <w:pPr>
        <w:pStyle w:val="Header"/>
        <w:spacing w:line="480" w:lineRule="auto"/>
        <w:jc w:val="center"/>
      </w:pPr>
      <w:r w:rsidRPr="00D75AE4">
        <w:lastRenderedPageBreak/>
        <w:t>References</w:t>
      </w:r>
    </w:p>
    <w:p w:rsidR="009668A8" w:rsidRPr="00D75AE4" w:rsidRDefault="00C767CA" w:rsidP="00013EE0">
      <w:pPr>
        <w:pStyle w:val="Header"/>
        <w:spacing w:line="480" w:lineRule="auto"/>
        <w:ind w:left="720" w:hanging="720"/>
      </w:pPr>
      <w:r w:rsidRPr="00D75AE4">
        <w:rPr>
          <w:color w:val="222222"/>
          <w:shd w:val="clear" w:color="auto" w:fill="FFFFFF"/>
        </w:rPr>
        <w:t>Brick, D. J., Fitzsimons, G. M., Chartrand, T. L., &amp; Fitzsimons, G. J. (2017). Coke vs. Pepsi: Brand Compatibility, Relationship Power, and Life Satisfaction. </w:t>
      </w:r>
      <w:r w:rsidRPr="00D75AE4">
        <w:rPr>
          <w:i/>
          <w:iCs/>
          <w:color w:val="222222"/>
          <w:shd w:val="clear" w:color="auto" w:fill="FFFFFF"/>
        </w:rPr>
        <w:t>Journal of Consumer Research</w:t>
      </w:r>
      <w:r w:rsidRPr="00D75AE4">
        <w:rPr>
          <w:color w:val="222222"/>
          <w:shd w:val="clear" w:color="auto" w:fill="FFFFFF"/>
        </w:rPr>
        <w:t>, </w:t>
      </w:r>
      <w:r w:rsidRPr="00D75AE4">
        <w:rPr>
          <w:i/>
          <w:iCs/>
          <w:color w:val="222222"/>
          <w:shd w:val="clear" w:color="auto" w:fill="FFFFFF"/>
        </w:rPr>
        <w:t>44</w:t>
      </w:r>
      <w:r w:rsidRPr="00D75AE4">
        <w:rPr>
          <w:color w:val="222222"/>
          <w:shd w:val="clear" w:color="auto" w:fill="FFFFFF"/>
        </w:rPr>
        <w:t xml:space="preserve">(5), 991-1014. </w:t>
      </w:r>
      <w:r w:rsidR="009668A8" w:rsidRPr="00D75AE4">
        <w:t xml:space="preserve">   </w:t>
      </w:r>
    </w:p>
    <w:p w:rsidR="00C767CA" w:rsidRPr="00D75AE4" w:rsidRDefault="00C767CA" w:rsidP="00013EE0">
      <w:pPr>
        <w:pStyle w:val="Header"/>
        <w:spacing w:line="480" w:lineRule="auto"/>
        <w:ind w:left="720" w:hanging="720"/>
        <w:rPr>
          <w:color w:val="222222"/>
          <w:shd w:val="clear" w:color="auto" w:fill="FFFFFF"/>
        </w:rPr>
      </w:pPr>
      <w:r w:rsidRPr="00D75AE4">
        <w:rPr>
          <w:color w:val="222222"/>
          <w:shd w:val="clear" w:color="auto" w:fill="FFFFFF"/>
        </w:rPr>
        <w:t>Dubé, J. P. (2005). Product differentiation and mergers in the carbonated soft drink industry. </w:t>
      </w:r>
      <w:r w:rsidRPr="00D75AE4">
        <w:rPr>
          <w:i/>
          <w:iCs/>
          <w:color w:val="222222"/>
          <w:shd w:val="clear" w:color="auto" w:fill="FFFFFF"/>
        </w:rPr>
        <w:t>Journal of Economics &amp; Management Strategy</w:t>
      </w:r>
      <w:r w:rsidRPr="00D75AE4">
        <w:rPr>
          <w:color w:val="222222"/>
          <w:shd w:val="clear" w:color="auto" w:fill="FFFFFF"/>
        </w:rPr>
        <w:t>, </w:t>
      </w:r>
      <w:r w:rsidRPr="00D75AE4">
        <w:rPr>
          <w:i/>
          <w:iCs/>
          <w:color w:val="222222"/>
          <w:shd w:val="clear" w:color="auto" w:fill="FFFFFF"/>
        </w:rPr>
        <w:t>14</w:t>
      </w:r>
      <w:r w:rsidRPr="00D75AE4">
        <w:rPr>
          <w:color w:val="222222"/>
          <w:shd w:val="clear" w:color="auto" w:fill="FFFFFF"/>
        </w:rPr>
        <w:t xml:space="preserve">(4), 879-904. </w:t>
      </w:r>
    </w:p>
    <w:p w:rsidR="00C767CA" w:rsidRPr="00D75AE4" w:rsidRDefault="00C767CA" w:rsidP="00013EE0">
      <w:pPr>
        <w:pStyle w:val="Header"/>
        <w:spacing w:line="480" w:lineRule="auto"/>
        <w:ind w:left="720" w:hanging="720"/>
      </w:pPr>
      <w:r w:rsidRPr="00D75AE4">
        <w:rPr>
          <w:color w:val="222222"/>
          <w:shd w:val="clear" w:color="auto" w:fill="FFFFFF"/>
        </w:rPr>
        <w:t>Koschmann, A., &amp; Sheth, J. N. (2016). Do Brands Compete or Coexist? Evidence from the Cola Wars.</w:t>
      </w:r>
      <w:r w:rsidR="00D75AE4" w:rsidRPr="00D75AE4">
        <w:rPr>
          <w:color w:val="222222"/>
          <w:shd w:val="clear" w:color="auto" w:fill="FFFFFF"/>
        </w:rPr>
        <w:t xml:space="preserve"> Harvard University Press, USA. </w:t>
      </w:r>
    </w:p>
    <w:p w:rsidR="00C767CA" w:rsidRPr="00D75AE4" w:rsidRDefault="00C767CA" w:rsidP="00013EE0">
      <w:pPr>
        <w:pStyle w:val="Header"/>
        <w:spacing w:line="480" w:lineRule="auto"/>
        <w:ind w:left="720" w:hanging="720"/>
        <w:rPr>
          <w:color w:val="222222"/>
          <w:shd w:val="clear" w:color="auto" w:fill="FFFFFF"/>
        </w:rPr>
      </w:pPr>
      <w:r w:rsidRPr="00D75AE4">
        <w:rPr>
          <w:color w:val="222222"/>
          <w:shd w:val="clear" w:color="auto" w:fill="FFFFFF"/>
        </w:rPr>
        <w:t>Mariuzzo, F., Walsh, P. P., &amp; Whelan, C. (2003). Firm size and market power in carbonated soft drinks. </w:t>
      </w:r>
      <w:r w:rsidRPr="00D75AE4">
        <w:rPr>
          <w:i/>
          <w:iCs/>
          <w:color w:val="222222"/>
          <w:shd w:val="clear" w:color="auto" w:fill="FFFFFF"/>
        </w:rPr>
        <w:t>Review of Industrial Organization</w:t>
      </w:r>
      <w:r w:rsidRPr="00D75AE4">
        <w:rPr>
          <w:color w:val="222222"/>
          <w:shd w:val="clear" w:color="auto" w:fill="FFFFFF"/>
        </w:rPr>
        <w:t>, </w:t>
      </w:r>
      <w:r w:rsidRPr="00D75AE4">
        <w:rPr>
          <w:i/>
          <w:iCs/>
          <w:color w:val="222222"/>
          <w:shd w:val="clear" w:color="auto" w:fill="FFFFFF"/>
        </w:rPr>
        <w:t>23</w:t>
      </w:r>
      <w:r w:rsidRPr="00D75AE4">
        <w:rPr>
          <w:color w:val="222222"/>
          <w:shd w:val="clear" w:color="auto" w:fill="FFFFFF"/>
        </w:rPr>
        <w:t xml:space="preserve">(3-4), 283-299. </w:t>
      </w:r>
    </w:p>
    <w:p w:rsidR="00C767CA" w:rsidRPr="00D75AE4" w:rsidRDefault="00C767CA" w:rsidP="00013EE0">
      <w:pPr>
        <w:pStyle w:val="Header"/>
        <w:spacing w:line="480" w:lineRule="auto"/>
        <w:ind w:left="720" w:hanging="720"/>
      </w:pPr>
      <w:r w:rsidRPr="00D75AE4">
        <w:rPr>
          <w:color w:val="222222"/>
          <w:shd w:val="clear" w:color="auto" w:fill="FFFFFF"/>
        </w:rPr>
        <w:t>Nestle, M. (2015). </w:t>
      </w:r>
      <w:r w:rsidRPr="00D75AE4">
        <w:rPr>
          <w:i/>
          <w:iCs/>
          <w:color w:val="222222"/>
          <w:shd w:val="clear" w:color="auto" w:fill="FFFFFF"/>
        </w:rPr>
        <w:t>Soda politics: Taking on big soda (and winning)</w:t>
      </w:r>
      <w:r w:rsidRPr="00D75AE4">
        <w:rPr>
          <w:color w:val="222222"/>
          <w:shd w:val="clear" w:color="auto" w:fill="FFFFFF"/>
        </w:rPr>
        <w:t xml:space="preserve">. Oxford University Press, USA. </w:t>
      </w:r>
    </w:p>
    <w:p w:rsidR="00C9437F" w:rsidRPr="00D75AE4" w:rsidRDefault="00C9437F" w:rsidP="00013EE0">
      <w:pPr>
        <w:pStyle w:val="Header"/>
        <w:spacing w:line="480" w:lineRule="auto"/>
      </w:pPr>
    </w:p>
    <w:sectPr w:rsidR="00C9437F" w:rsidRPr="00D75AE4" w:rsidSect="00D75AE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228C8" w:rsidRDefault="00D228C8" w:rsidP="00D75AE4">
      <w:pPr>
        <w:spacing w:line="240" w:lineRule="auto"/>
      </w:pPr>
      <w:r>
        <w:separator/>
      </w:r>
    </w:p>
  </w:endnote>
  <w:endnote w:type="continuationSeparator" w:id="1">
    <w:p w:rsidR="00D228C8" w:rsidRDefault="00D228C8" w:rsidP="00D75AE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228C8" w:rsidRDefault="00D228C8" w:rsidP="00D75AE4">
      <w:pPr>
        <w:spacing w:line="240" w:lineRule="auto"/>
      </w:pPr>
      <w:r>
        <w:separator/>
      </w:r>
    </w:p>
  </w:footnote>
  <w:footnote w:type="continuationSeparator" w:id="1">
    <w:p w:rsidR="00D228C8" w:rsidRDefault="00D228C8" w:rsidP="00D75AE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3231777"/>
      <w:docPartObj>
        <w:docPartGallery w:val="Page Numbers (Top of Page)"/>
        <w:docPartUnique/>
      </w:docPartObj>
    </w:sdtPr>
    <w:sdtContent>
      <w:p w:rsidR="00D75AE4" w:rsidRDefault="00D75AE4" w:rsidP="00D75AE4">
        <w:pPr>
          <w:pStyle w:val="Header"/>
          <w:ind w:firstLine="0"/>
          <w:jc w:val="center"/>
        </w:pPr>
        <w:r>
          <w:t>COLA WARS</w:t>
        </w:r>
        <w:r>
          <w:tab/>
        </w:r>
        <w:r>
          <w:tab/>
        </w:r>
        <w:fldSimple w:instr=" PAGE   \* MERGEFORMAT ">
          <w:r w:rsidR="00663896">
            <w:rPr>
              <w:noProof/>
            </w:rPr>
            <w:t>6</w:t>
          </w:r>
        </w:fldSimple>
      </w:p>
    </w:sdtContent>
  </w:sdt>
  <w:p w:rsidR="00D75AE4" w:rsidRDefault="00D75AE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AE4" w:rsidRDefault="00D75AE4" w:rsidP="00D75AE4">
    <w:pPr>
      <w:pStyle w:val="Header"/>
      <w:ind w:firstLine="0"/>
    </w:pPr>
    <w:r>
      <w:t>Running head: COLA WARS</w:t>
    </w:r>
    <w:r>
      <w:tab/>
    </w:r>
    <w: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266B5E"/>
    <w:rsid w:val="00013EE0"/>
    <w:rsid w:val="00055AA3"/>
    <w:rsid w:val="000A2378"/>
    <w:rsid w:val="002555E8"/>
    <w:rsid w:val="00266B5E"/>
    <w:rsid w:val="003C5B41"/>
    <w:rsid w:val="0065527C"/>
    <w:rsid w:val="00663896"/>
    <w:rsid w:val="007B7D6E"/>
    <w:rsid w:val="007F3814"/>
    <w:rsid w:val="008215CC"/>
    <w:rsid w:val="009668A8"/>
    <w:rsid w:val="00A335A5"/>
    <w:rsid w:val="00AB11D8"/>
    <w:rsid w:val="00B33B0A"/>
    <w:rsid w:val="00C3076D"/>
    <w:rsid w:val="00C767CA"/>
    <w:rsid w:val="00C9437F"/>
    <w:rsid w:val="00D228C8"/>
    <w:rsid w:val="00D75AE4"/>
    <w:rsid w:val="00EA48DB"/>
    <w:rsid w:val="00EE53B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6B5E"/>
    <w:pPr>
      <w:tabs>
        <w:tab w:val="center" w:pos="4680"/>
        <w:tab w:val="right" w:pos="9360"/>
      </w:tabs>
      <w:spacing w:line="240" w:lineRule="auto"/>
    </w:pPr>
  </w:style>
  <w:style w:type="character" w:customStyle="1" w:styleId="HeaderChar">
    <w:name w:val="Header Char"/>
    <w:basedOn w:val="DefaultParagraphFont"/>
    <w:link w:val="Header"/>
    <w:uiPriority w:val="99"/>
    <w:rsid w:val="00266B5E"/>
  </w:style>
  <w:style w:type="paragraph" w:styleId="Footer">
    <w:name w:val="footer"/>
    <w:basedOn w:val="Normal"/>
    <w:link w:val="FooterChar"/>
    <w:uiPriority w:val="99"/>
    <w:semiHidden/>
    <w:unhideWhenUsed/>
    <w:rsid w:val="00D75AE4"/>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D75AE4"/>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1289</Words>
  <Characters>7349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2018-01-27T23:30:00Z</dcterms:created>
  <dcterms:modified xsi:type="dcterms:W3CDTF">2018-01-27T23:30:00Z</dcterms:modified>
</cp:coreProperties>
</file>